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5D6" w:rsidRPr="00232E07" w:rsidRDefault="005475D6" w:rsidP="005475D6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32974361"/>
      <w:bookmarkStart w:id="4" w:name="_Toc532974971"/>
      <w:bookmarkStart w:id="5" w:name="_Toc23068507"/>
      <w:bookmarkStart w:id="6" w:name="_Toc62354330"/>
      <w:bookmarkStart w:id="7" w:name="_Hlk496270985"/>
      <w:bookmarkStart w:id="8" w:name="_Hlk62339749"/>
      <w:bookmarkStart w:id="9" w:name="_Toc72963079"/>
      <w:r>
        <w:rPr>
          <w:noProof/>
          <w:lang w:val="ru-RU"/>
        </w:rPr>
        <w:t>Вариант 16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9"/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bookmarkEnd w:id="3"/>
      <w:bookmarkEnd w:id="4"/>
      <w:bookmarkEnd w:id="5"/>
      <w:bookmarkEnd w:id="6"/>
    </w:p>
    <w:p w:rsidR="005475D6" w:rsidRDefault="005475D6" w:rsidP="005475D6">
      <w:pPr>
        <w:rPr>
          <w:noProof/>
          <w:lang w:val="ru-RU"/>
        </w:rPr>
      </w:pPr>
    </w:p>
    <w:p w:rsidR="005475D6" w:rsidRPr="00BA16E0" w:rsidRDefault="005475D6" w:rsidP="005475D6">
      <w:pPr>
        <w:rPr>
          <w:lang w:val="ru-RU"/>
        </w:rPr>
      </w:pPr>
      <w:bookmarkStart w:id="10" w:name="_Hlk496270996"/>
      <w:bookmarkStart w:id="11" w:name="_Hlk27147009"/>
      <w:bookmarkEnd w:id="7"/>
      <w:bookmarkEnd w:id="8"/>
      <w:r w:rsidRPr="00BA16E0">
        <w:rPr>
          <w:lang w:val="ru-RU"/>
        </w:rPr>
        <w:t>Бар и ресторан «Грубый Готлиб» ежегодно закупают 5000 бутылок испанского вина. По закупке и доставке вино обходится владельцу ресторана  $3 за бутылку. Издержки хран</w:t>
      </w:r>
      <w:r w:rsidRPr="00BA16E0">
        <w:rPr>
          <w:lang w:val="ru-RU"/>
        </w:rPr>
        <w:t>е</w:t>
      </w:r>
      <w:r w:rsidRPr="00BA16E0">
        <w:rPr>
          <w:lang w:val="ru-RU"/>
        </w:rPr>
        <w:t>ния оцениваются в 20% от цены покупки. Поставка товара по заказу занимает три недели. Недельная потребность составляет около 100 бутылок (каждый год бар и ресторан закр</w:t>
      </w:r>
      <w:r w:rsidRPr="00BA16E0">
        <w:rPr>
          <w:lang w:val="ru-RU"/>
        </w:rPr>
        <w:t>ы</w:t>
      </w:r>
      <w:r w:rsidRPr="00BA16E0">
        <w:rPr>
          <w:lang w:val="ru-RU"/>
        </w:rPr>
        <w:t>ваются на две недели), спрос за последние 24 недели можно посмотреть в та</w:t>
      </w:r>
      <w:r w:rsidRPr="00BA16E0">
        <w:rPr>
          <w:lang w:val="ru-RU"/>
        </w:rPr>
        <w:t>б</w:t>
      </w:r>
      <w:r w:rsidRPr="00BA16E0">
        <w:rPr>
          <w:lang w:val="ru-RU"/>
        </w:rPr>
        <w:t>лице.</w:t>
      </w:r>
    </w:p>
    <w:tbl>
      <w:tblPr>
        <w:tblW w:w="8222" w:type="dxa"/>
        <w:tblInd w:w="93" w:type="dxa"/>
        <w:tblLook w:val="0000" w:firstRow="0" w:lastRow="0" w:firstColumn="0" w:lastColumn="0" w:noHBand="0" w:noVBand="0"/>
      </w:tblPr>
      <w:tblGrid>
        <w:gridCol w:w="1131"/>
        <w:gridCol w:w="1019"/>
        <w:gridCol w:w="1019"/>
        <w:gridCol w:w="1019"/>
        <w:gridCol w:w="1019"/>
        <w:gridCol w:w="1012"/>
        <w:gridCol w:w="984"/>
        <w:gridCol w:w="1019"/>
      </w:tblGrid>
      <w:tr w:rsidR="005475D6" w:rsidRPr="00904430" w:rsidTr="00E82E9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145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78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53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64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72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91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127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147</w:t>
            </w:r>
          </w:p>
        </w:tc>
      </w:tr>
      <w:tr w:rsidR="005475D6" w:rsidRPr="00904430" w:rsidTr="00E82E93"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119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121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131</w:t>
            </w:r>
          </w:p>
        </w:tc>
      </w:tr>
      <w:tr w:rsidR="005475D6" w:rsidRPr="00904430" w:rsidTr="00E82E93"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102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132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142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107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5D6" w:rsidRPr="00904430" w:rsidRDefault="005475D6" w:rsidP="00E82E93">
            <w:pPr>
              <w:pStyle w:val="VSE0"/>
            </w:pPr>
            <w:r w:rsidRPr="00904430">
              <w:rPr>
                <w:snapToGrid w:val="0"/>
              </w:rPr>
              <w:t>111</w:t>
            </w:r>
          </w:p>
        </w:tc>
      </w:tr>
    </w:tbl>
    <w:p w:rsidR="005475D6" w:rsidRPr="00904430" w:rsidRDefault="005475D6" w:rsidP="005475D6"/>
    <w:p w:rsidR="005475D6" w:rsidRPr="00BA16E0" w:rsidRDefault="005475D6" w:rsidP="005475D6">
      <w:pPr>
        <w:rPr>
          <w:lang w:val="ru-RU"/>
        </w:rPr>
      </w:pPr>
      <w:r w:rsidRPr="00BA16E0">
        <w:rPr>
          <w:lang w:val="ru-RU"/>
        </w:rPr>
        <w:t>По соглашению с поставщиком, менеджер делает заказы регулярно каждые 4 недели и х</w:t>
      </w:r>
      <w:r w:rsidRPr="00BA16E0">
        <w:rPr>
          <w:lang w:val="ru-RU"/>
        </w:rPr>
        <w:t>о</w:t>
      </w:r>
      <w:r w:rsidRPr="00BA16E0">
        <w:rPr>
          <w:lang w:val="ru-RU"/>
        </w:rPr>
        <w:t>чет держать риск дефицита на уровне 2% .</w:t>
      </w:r>
    </w:p>
    <w:p w:rsidR="005475D6" w:rsidRPr="009B511E" w:rsidRDefault="005475D6" w:rsidP="005475D6">
      <w:pPr>
        <w:pStyle w:val="VSEListabc"/>
        <w:numPr>
          <w:ilvl w:val="0"/>
          <w:numId w:val="29"/>
        </w:numPr>
        <w:rPr>
          <w:lang w:val="ru-RU"/>
        </w:rPr>
      </w:pPr>
      <w:r w:rsidRPr="009B511E">
        <w:rPr>
          <w:lang w:val="ru-RU"/>
        </w:rPr>
        <w:t>Определите величину безопасного резерва.</w:t>
      </w:r>
      <w:r>
        <w:rPr>
          <w:lang w:val="ru-RU"/>
        </w:rPr>
        <w:t xml:space="preserve"> Сколько стоит его хранение? Каков при этом ур</w:t>
      </w:r>
      <w:r>
        <w:rPr>
          <w:lang w:val="ru-RU"/>
        </w:rPr>
        <w:t>о</w:t>
      </w:r>
      <w:r>
        <w:rPr>
          <w:lang w:val="ru-RU"/>
        </w:rPr>
        <w:t>вень обслуживания клиентов?</w:t>
      </w:r>
    </w:p>
    <w:p w:rsidR="005475D6" w:rsidRPr="009B511E" w:rsidRDefault="005475D6" w:rsidP="005475D6">
      <w:pPr>
        <w:pStyle w:val="VSEListabc"/>
        <w:numPr>
          <w:ilvl w:val="0"/>
          <w:numId w:val="29"/>
        </w:numPr>
        <w:rPr>
          <w:lang w:val="ru-RU"/>
        </w:rPr>
      </w:pPr>
      <w:r>
        <w:rPr>
          <w:lang w:val="ru-RU"/>
        </w:rPr>
        <w:t>Менеджер</w:t>
      </w:r>
      <w:r w:rsidRPr="009B511E">
        <w:rPr>
          <w:lang w:val="ru-RU"/>
        </w:rPr>
        <w:t xml:space="preserve"> слышал, что некий его знакомый, воспользовавшийся услугами специалиста,  определяет свой безопасный резерв, как 10% от величины заказа. Какому риску дефицита это будет соответствовать для </w:t>
      </w:r>
      <w:r>
        <w:rPr>
          <w:lang w:val="ru-RU"/>
        </w:rPr>
        <w:t xml:space="preserve">ресторана </w:t>
      </w:r>
      <w:r w:rsidRPr="009B511E">
        <w:rPr>
          <w:lang w:val="ru-RU"/>
        </w:rPr>
        <w:t>герра Готл</w:t>
      </w:r>
      <w:r w:rsidRPr="009B511E">
        <w:rPr>
          <w:lang w:val="ru-RU"/>
        </w:rPr>
        <w:t>и</w:t>
      </w:r>
      <w:r w:rsidRPr="009B511E">
        <w:rPr>
          <w:lang w:val="ru-RU"/>
        </w:rPr>
        <w:t>ба?</w:t>
      </w:r>
    </w:p>
    <w:p w:rsidR="005475D6" w:rsidRDefault="005475D6" w:rsidP="005475D6">
      <w:pPr>
        <w:rPr>
          <w:noProof/>
          <w:lang w:val="ru-RU"/>
        </w:rPr>
      </w:pPr>
    </w:p>
    <w:bookmarkEnd w:id="10"/>
    <w:bookmarkEnd w:id="11"/>
    <w:bookmarkEnd w:id="0"/>
    <w:bookmarkEnd w:id="1"/>
    <w:bookmarkEnd w:id="2"/>
    <w:sectPr w:rsidR="005475D6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5475D6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7" w:name="_Hlk62336413"/>
    <w:bookmarkStart w:id="18" w:name="_Hlk62336414"/>
    <w:bookmarkStart w:id="19" w:name="_Hlk62336853"/>
    <w:bookmarkStart w:id="20" w:name="_Hlk62336854"/>
    <w:bookmarkStart w:id="21" w:name="_Hlk62338166"/>
    <w:bookmarkStart w:id="22" w:name="_Hlk62338167"/>
    <w:bookmarkStart w:id="23" w:name="_Hlk62338551"/>
    <w:bookmarkStart w:id="24" w:name="_Hlk62338552"/>
    <w:bookmarkStart w:id="25" w:name="_Hlk62338581"/>
    <w:bookmarkStart w:id="26" w:name="_Hlk62338582"/>
    <w:bookmarkStart w:id="27" w:name="_Hlk62338687"/>
    <w:bookmarkStart w:id="28" w:name="_Hlk62338688"/>
    <w:bookmarkStart w:id="29" w:name="_Hlk62338693"/>
    <w:bookmarkStart w:id="30" w:name="_Hlk62338694"/>
    <w:bookmarkStart w:id="31" w:name="_Hlk62338700"/>
    <w:bookmarkStart w:id="32" w:name="_Hlk62338701"/>
    <w:bookmarkStart w:id="33" w:name="_Hlk62338706"/>
    <w:bookmarkStart w:id="34" w:name="_Hlk62338707"/>
    <w:bookmarkStart w:id="35" w:name="_Hlk62344989"/>
    <w:bookmarkStart w:id="36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5475D6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2" w:name="_Hlk62344956"/>
    <w:bookmarkStart w:id="13" w:name="_Hlk62344957"/>
    <w:bookmarkStart w:id="14" w:name="_Hlk62345747"/>
    <w:bookmarkStart w:id="1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8227B49" wp14:editId="6DE07490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5475D6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6E4985F" wp14:editId="1AB6494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5475D6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E4985F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5475D6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5475D6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5475D6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5475D6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16"/>
  <w:p w:rsidR="00C52AEE" w:rsidRPr="00637798" w:rsidRDefault="005475D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0"/>
  </w:num>
  <w:num w:numId="20">
    <w:abstractNumId w:val="16"/>
  </w:num>
  <w:num w:numId="21">
    <w:abstractNumId w:val="14"/>
  </w:num>
  <w:num w:numId="22">
    <w:abstractNumId w:val="13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D6"/>
    <w:rsid w:val="002B2C1B"/>
    <w:rsid w:val="00421F70"/>
    <w:rsid w:val="005475D6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A5AB2-E937-46B1-BBCD-AB130424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75D6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475D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5475D6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475D6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475D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475D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475D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475D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475D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5475D6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5475D6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475D6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475D6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475D6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475D6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475D6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475D6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475D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5475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5475D6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475D6"/>
    <w:pPr>
      <w:numPr>
        <w:numId w:val="10"/>
      </w:numPr>
    </w:pPr>
  </w:style>
  <w:style w:type="paragraph" w:styleId="a8">
    <w:name w:val="Block Text"/>
    <w:basedOn w:val="a0"/>
    <w:rsid w:val="005475D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475D6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5475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5475D6"/>
    <w:rPr>
      <w:rFonts w:ascii="Calibri" w:eastAsia="Times New Roman" w:hAnsi="Calibri" w:cs="Calibri"/>
      <w:lang w:val="en-US"/>
    </w:rPr>
  </w:style>
  <w:style w:type="character" w:styleId="ab">
    <w:name w:val="page number"/>
    <w:rsid w:val="005475D6"/>
    <w:rPr>
      <w:rFonts w:cs="Times New Roman"/>
    </w:rPr>
  </w:style>
  <w:style w:type="paragraph" w:styleId="ac">
    <w:name w:val="footer"/>
    <w:basedOn w:val="a0"/>
    <w:link w:val="ad"/>
    <w:rsid w:val="005475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5475D6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5475D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5475D6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475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475D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475D6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5475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475D6"/>
    <w:rPr>
      <w:sz w:val="20"/>
      <w:szCs w:val="20"/>
    </w:rPr>
  </w:style>
  <w:style w:type="character" w:styleId="af1">
    <w:name w:val="Hyperlink"/>
    <w:uiPriority w:val="99"/>
    <w:rsid w:val="005475D6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5475D6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5475D6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5475D6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5475D6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5475D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5475D6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475D6"/>
    <w:pPr>
      <w:jc w:val="left"/>
    </w:pPr>
  </w:style>
  <w:style w:type="paragraph" w:customStyle="1" w:styleId="af8">
    <w:name w:val="ТаблицаЗадачника"/>
    <w:basedOn w:val="a0"/>
    <w:autoRedefine/>
    <w:rsid w:val="005475D6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5475D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5475D6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5475D6"/>
    <w:rPr>
      <w:rFonts w:cs="Times New Roman"/>
      <w:b/>
      <w:bCs/>
      <w:spacing w:val="0"/>
    </w:rPr>
  </w:style>
  <w:style w:type="character" w:styleId="afc">
    <w:name w:val="Emphasis"/>
    <w:qFormat/>
    <w:rsid w:val="005475D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475D6"/>
  </w:style>
  <w:style w:type="character" w:customStyle="1" w:styleId="NoSpacingChar">
    <w:name w:val="No Spacing Char"/>
    <w:link w:val="12"/>
    <w:locked/>
    <w:rsid w:val="005475D6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475D6"/>
    <w:pPr>
      <w:ind w:left="720"/>
    </w:pPr>
  </w:style>
  <w:style w:type="paragraph" w:customStyle="1" w:styleId="21">
    <w:name w:val="Цитата 21"/>
    <w:basedOn w:val="a0"/>
    <w:next w:val="a0"/>
    <w:link w:val="QuoteChar"/>
    <w:rsid w:val="005475D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475D6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475D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475D6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475D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475D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475D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475D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475D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475D6"/>
    <w:pPr>
      <w:outlineLvl w:val="9"/>
    </w:pPr>
  </w:style>
  <w:style w:type="numbering" w:customStyle="1" w:styleId="38">
    <w:name w:val="Стиль нумерованный полужирный38"/>
    <w:rsid w:val="005475D6"/>
    <w:pPr>
      <w:numPr>
        <w:numId w:val="6"/>
      </w:numPr>
    </w:pPr>
  </w:style>
  <w:style w:type="numbering" w:customStyle="1" w:styleId="124">
    <w:name w:val="Стиль нумерованный полужирный124"/>
    <w:rsid w:val="005475D6"/>
    <w:pPr>
      <w:numPr>
        <w:numId w:val="9"/>
      </w:numPr>
    </w:pPr>
  </w:style>
  <w:style w:type="numbering" w:customStyle="1" w:styleId="66">
    <w:name w:val="Стиль нумерованный полужирный66"/>
    <w:rsid w:val="005475D6"/>
    <w:pPr>
      <w:numPr>
        <w:numId w:val="7"/>
      </w:numPr>
    </w:pPr>
  </w:style>
  <w:style w:type="numbering" w:customStyle="1" w:styleId="54">
    <w:name w:val="Стиль нумерованный полужирный54"/>
    <w:rsid w:val="005475D6"/>
    <w:pPr>
      <w:numPr>
        <w:numId w:val="4"/>
      </w:numPr>
    </w:pPr>
  </w:style>
  <w:style w:type="numbering" w:customStyle="1" w:styleId="246">
    <w:name w:val="Стиль нумерованный полужирный246"/>
    <w:rsid w:val="005475D6"/>
    <w:pPr>
      <w:numPr>
        <w:numId w:val="2"/>
      </w:numPr>
    </w:pPr>
  </w:style>
  <w:style w:type="numbering" w:customStyle="1" w:styleId="146">
    <w:name w:val="Стиль нумерованный полужирный146"/>
    <w:rsid w:val="005475D6"/>
    <w:pPr>
      <w:numPr>
        <w:numId w:val="1"/>
      </w:numPr>
    </w:pPr>
  </w:style>
  <w:style w:type="numbering" w:customStyle="1" w:styleId="44">
    <w:name w:val="Стиль нумерованный полужирный44"/>
    <w:rsid w:val="005475D6"/>
    <w:pPr>
      <w:numPr>
        <w:numId w:val="3"/>
      </w:numPr>
    </w:pPr>
  </w:style>
  <w:style w:type="numbering" w:customStyle="1" w:styleId="225">
    <w:name w:val="Стиль нумерованный полужирный225"/>
    <w:rsid w:val="005475D6"/>
    <w:pPr>
      <w:numPr>
        <w:numId w:val="14"/>
      </w:numPr>
    </w:pPr>
  </w:style>
  <w:style w:type="numbering" w:customStyle="1" w:styleId="76">
    <w:name w:val="Стиль нумерованный полужирный76"/>
    <w:rsid w:val="005475D6"/>
    <w:pPr>
      <w:numPr>
        <w:numId w:val="8"/>
      </w:numPr>
    </w:pPr>
  </w:style>
  <w:style w:type="numbering" w:customStyle="1" w:styleId="74">
    <w:name w:val="Стиль нумерованный полужирный74"/>
    <w:rsid w:val="005475D6"/>
    <w:pPr>
      <w:numPr>
        <w:numId w:val="5"/>
      </w:numPr>
    </w:pPr>
  </w:style>
  <w:style w:type="paragraph" w:customStyle="1" w:styleId="1b">
    <w:name w:val="Обычный1"/>
    <w:rsid w:val="005475D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5475D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5475D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5475D6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5475D6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5475D6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5475D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5475D6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5475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475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475D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475D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475D6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5475D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475D6"/>
    <w:pPr>
      <w:spacing w:after="100"/>
      <w:ind w:left="440"/>
    </w:pPr>
  </w:style>
  <w:style w:type="paragraph" w:styleId="22">
    <w:name w:val="List 2"/>
    <w:basedOn w:val="a0"/>
    <w:rsid w:val="005475D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475D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475D6"/>
    <w:pPr>
      <w:numPr>
        <w:numId w:val="11"/>
      </w:numPr>
    </w:pPr>
  </w:style>
  <w:style w:type="paragraph" w:styleId="a">
    <w:name w:val="List Bullet"/>
    <w:basedOn w:val="a0"/>
    <w:semiHidden/>
    <w:unhideWhenUsed/>
    <w:rsid w:val="005475D6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5475D6"/>
    <w:rPr>
      <w:color w:val="808080"/>
    </w:rPr>
  </w:style>
  <w:style w:type="paragraph" w:styleId="33">
    <w:name w:val="Body Text Indent 3"/>
    <w:basedOn w:val="a0"/>
    <w:link w:val="34"/>
    <w:rsid w:val="005475D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475D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475D6"/>
    <w:pPr>
      <w:numPr>
        <w:numId w:val="13"/>
      </w:numPr>
    </w:pPr>
  </w:style>
  <w:style w:type="paragraph" w:customStyle="1" w:styleId="Normal12">
    <w:name w:val="Normal12"/>
    <w:rsid w:val="005475D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5475D6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5475D6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5475D6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2021-05-26T20:12:00Z</dcterms:created>
  <dcterms:modified xsi:type="dcterms:W3CDTF">2021-05-26T20:12:00Z</dcterms:modified>
</cp:coreProperties>
</file>