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3BF" w:rsidRPr="00B36287" w:rsidRDefault="002F53BF" w:rsidP="002F53BF">
      <w:pPr>
        <w:pStyle w:val="vse"/>
        <w:rPr>
          <w:noProof/>
          <w:sz w:val="28"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40"/>
      <w:r>
        <w:rPr>
          <w:noProof/>
          <w:lang w:val="ru-RU"/>
        </w:rPr>
        <w:t>Вариант 40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543307">
        <w:rPr>
          <w:noProof/>
          <w:lang w:val="ru-RU"/>
        </w:rPr>
        <w:t xml:space="preserve">Школа танцев </w:t>
      </w:r>
      <w:r w:rsidRPr="00543307">
        <w:rPr>
          <w:noProof/>
          <w:sz w:val="28"/>
          <w:lang w:val="ru-RU"/>
        </w:rPr>
        <w:t>(***)</w:t>
      </w:r>
      <w:bookmarkEnd w:id="4"/>
    </w:p>
    <w:p w:rsidR="002F53BF" w:rsidRPr="006B4F2F" w:rsidRDefault="002F53BF" w:rsidP="002F53BF">
      <w:pPr>
        <w:ind w:firstLine="426"/>
        <w:rPr>
          <w:lang w:val="ru-RU"/>
        </w:rPr>
      </w:pPr>
      <w:r w:rsidRPr="006B4F2F">
        <w:rPr>
          <w:lang w:val="ru-RU"/>
        </w:rPr>
        <w:t>В рамках проекта необходимо принять решение по вопросу выбора помещения для школы танцев. Существуют три альтернативы по проекту: покупка более дешевого зала – инвестиции составят 6 900 000 руб. покупка и 500 000 ремонт помещения; покупка более дорогого зала – инвестиции в данном случае составят 15</w:t>
      </w:r>
      <w:r>
        <w:t> </w:t>
      </w:r>
      <w:r w:rsidRPr="006B4F2F">
        <w:rPr>
          <w:lang w:val="ru-RU"/>
        </w:rPr>
        <w:t>110</w:t>
      </w:r>
      <w:r>
        <w:t> </w:t>
      </w:r>
      <w:r w:rsidRPr="006B4F2F">
        <w:rPr>
          <w:lang w:val="ru-RU"/>
        </w:rPr>
        <w:t>000 руб. на покупку и 100 000 руб. на ремонт помещения; аренда более дешевого помещения – арендные платежи составят 187 000 руб. в месяц в первый год и 237</w:t>
      </w:r>
      <w:r>
        <w:t> </w:t>
      </w:r>
      <w:r w:rsidRPr="006B4F2F">
        <w:rPr>
          <w:lang w:val="ru-RU"/>
        </w:rPr>
        <w:t xml:space="preserve">000 руб. в месяц во второй год. Особенность арендного финансирования заключается в отсутствии инвестиций для осуществления проекта, а также в имеющемся опционе (возможности) на досрочный выход из проекта, оцененный в 2,8 млн. руб., если по достижении первого года станет ясен низкий спрос на данные услуги. </w:t>
      </w:r>
    </w:p>
    <w:p w:rsidR="002F53BF" w:rsidRPr="006B4F2F" w:rsidRDefault="002F53BF" w:rsidP="002F53BF">
      <w:pPr>
        <w:ind w:firstLine="426"/>
        <w:rPr>
          <w:lang w:val="ru-RU"/>
        </w:rPr>
      </w:pPr>
      <w:r w:rsidRPr="006B4F2F">
        <w:rPr>
          <w:lang w:val="ru-RU"/>
        </w:rPr>
        <w:t>Текущие затраты в первый год по проекту оценены как: 20 000 руб./мес. – рекламные расходы; 20 000 руб.\мес. – коммунальные платежи; 120 000руб.\мес. - заработная плата персонала. Текущие затраты во второй год по проекту отличаются по позиции заработная плата, которая составит во второй год 135 200 руб.\мес.</w:t>
      </w:r>
    </w:p>
    <w:p w:rsidR="002F53BF" w:rsidRPr="006B4F2F" w:rsidRDefault="002F53BF" w:rsidP="002F53BF">
      <w:pPr>
        <w:ind w:firstLine="426"/>
        <w:rPr>
          <w:lang w:val="ru-RU"/>
        </w:rPr>
      </w:pPr>
      <w:r w:rsidRPr="006B4F2F">
        <w:rPr>
          <w:lang w:val="ru-RU"/>
        </w:rPr>
        <w:t>В случае работы в более дешевом помещении (в случае покупки его или аренды) ожидаемая выручка по проекту в первый год с вероятностью 70% составит 8,5 млн. в год, тогда во второй год в случае высокого спроса выручка составит 10,3 млн., а в случае низкого спроса – 5,2 млн. С вероятностью 30% спрос в первый год на проект будет низкий, тогда выручка по проекту составит 4,2 млн. в год, в этом случае ожидаемая выручка во второй год будет соответствовать ожидаемой выручке в первый год.</w:t>
      </w:r>
    </w:p>
    <w:p w:rsidR="002F53BF" w:rsidRPr="006B4F2F" w:rsidRDefault="002F53BF" w:rsidP="002F53BF">
      <w:pPr>
        <w:ind w:firstLine="426"/>
        <w:rPr>
          <w:lang w:val="ru-RU"/>
        </w:rPr>
      </w:pPr>
      <w:r w:rsidRPr="006B4F2F">
        <w:rPr>
          <w:lang w:val="ru-RU"/>
        </w:rPr>
        <w:t>В слу</w:t>
      </w:r>
      <w:r>
        <w:rPr>
          <w:lang w:val="ru-RU"/>
        </w:rPr>
        <w:t xml:space="preserve">чае работы в дорогом помещении </w:t>
      </w:r>
      <w:r w:rsidRPr="006B4F2F">
        <w:rPr>
          <w:lang w:val="ru-RU"/>
        </w:rPr>
        <w:t>ожидаемая выручка по проекту в первый год с вероятностью 70% составит 15,4 млн. в год, тогда во второй год в случае высокого спроса выручка составит 17,5 млн., а в случае низкого спроса – 8 млн. С вероятностью 30% спрос в первый год на проект будет низкий, тогда выручка по проекту составит 6,2 млн. в год, в этом случае ожидаемая выручка во второй год будет соответствовать ожидаемой выручке в первый год.</w:t>
      </w:r>
    </w:p>
    <w:p w:rsidR="002F53BF" w:rsidRPr="006B4F2F" w:rsidRDefault="002F53BF" w:rsidP="002F53BF">
      <w:pPr>
        <w:ind w:firstLine="426"/>
        <w:rPr>
          <w:lang w:val="ru-RU"/>
        </w:rPr>
      </w:pPr>
      <w:r w:rsidRPr="006B4F2F">
        <w:rPr>
          <w:lang w:val="ru-RU"/>
        </w:rPr>
        <w:t>Вероятность высокого спроса составляет 70%, низкого – 30%.</w:t>
      </w:r>
    </w:p>
    <w:p w:rsidR="002F53BF" w:rsidRDefault="002F53BF" w:rsidP="002F53BF">
      <w:pPr>
        <w:rPr>
          <w:noProof/>
          <w:lang w:val="ru-RU"/>
        </w:rPr>
      </w:pPr>
      <w:r w:rsidRPr="006B4F2F">
        <w:rPr>
          <w:lang w:val="ru-RU"/>
        </w:rPr>
        <w:t>Оценка проекта за два года произведена исходя из предположения о низких входных барьерах в отрасли, что приведет через два года к равенству показателей ожидаемой и ср</w:t>
      </w:r>
      <w:r>
        <w:rPr>
          <w:lang w:val="ru-RU"/>
        </w:rPr>
        <w:t xml:space="preserve">еднерыночной доходности, таким </w:t>
      </w:r>
      <w:r w:rsidRPr="006B4F2F">
        <w:rPr>
          <w:lang w:val="ru-RU"/>
        </w:rPr>
        <w:t>образом</w:t>
      </w:r>
      <w:r>
        <w:rPr>
          <w:lang w:val="ru-RU"/>
        </w:rPr>
        <w:t>,</w:t>
      </w:r>
      <w:r w:rsidRPr="006B4F2F">
        <w:rPr>
          <w:lang w:val="ru-RU"/>
        </w:rPr>
        <w:t xml:space="preserve"> </w:t>
      </w:r>
      <w:r w:rsidRPr="006C29E4">
        <w:t>NPV</w:t>
      </w:r>
      <w:r w:rsidRPr="006B4F2F">
        <w:rPr>
          <w:lang w:val="ru-RU"/>
        </w:rPr>
        <w:t xml:space="preserve"> проекта в дальн</w:t>
      </w:r>
      <w:r>
        <w:rPr>
          <w:lang w:val="ru-RU"/>
        </w:rPr>
        <w:t xml:space="preserve">ейшем будет равно </w:t>
      </w:r>
      <w:r w:rsidRPr="006B4F2F">
        <w:rPr>
          <w:lang w:val="ru-RU"/>
        </w:rPr>
        <w:t>нулю.</w:t>
      </w:r>
    </w:p>
    <w:p w:rsidR="002F53BF" w:rsidRDefault="002F53BF" w:rsidP="002F53BF">
      <w:pPr>
        <w:rPr>
          <w:noProof/>
          <w:lang w:val="ru-RU"/>
        </w:rPr>
      </w:pPr>
    </w:p>
    <w:p w:rsidR="002F53BF" w:rsidRPr="00232E07" w:rsidRDefault="002F53BF" w:rsidP="002F53BF">
      <w:pPr>
        <w:rPr>
          <w:noProof/>
          <w:lang w:val="ru-RU"/>
        </w:rPr>
      </w:pPr>
    </w:p>
    <w:bookmarkEnd w:id="3"/>
    <w:bookmarkEnd w:id="0"/>
    <w:bookmarkEnd w:id="1"/>
    <w:bookmarkEnd w:id="2"/>
    <w:sectPr w:rsidR="002F53BF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2F53BF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2F53BF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62EAF43" wp14:editId="4806608D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2F53BF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B2D871" wp14:editId="63262B0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2F53BF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7B2D87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2F53BF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2F53BF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2F53BF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2F53B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2F53B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2F53B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2F53B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BF"/>
    <w:rsid w:val="002B2C1B"/>
    <w:rsid w:val="002F53BF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E86FC-4213-4F4E-860E-A53040C0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F53B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F53B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2F53B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2F53B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F53B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F53B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F53B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F53B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F53B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2F53B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2F53B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2F53B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F53B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F53B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F53B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F53B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F53B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F53B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2F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F53B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F53BF"/>
    <w:pPr>
      <w:numPr>
        <w:numId w:val="10"/>
      </w:numPr>
    </w:pPr>
  </w:style>
  <w:style w:type="paragraph" w:styleId="a6">
    <w:name w:val="Block Text"/>
    <w:basedOn w:val="a0"/>
    <w:rsid w:val="002F53B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F53B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2F5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F53BF"/>
    <w:rPr>
      <w:rFonts w:ascii="Calibri" w:eastAsia="Times New Roman" w:hAnsi="Calibri" w:cs="Calibri"/>
      <w:lang w:val="en-US"/>
    </w:rPr>
  </w:style>
  <w:style w:type="character" w:styleId="a9">
    <w:name w:val="page number"/>
    <w:rsid w:val="002F53BF"/>
    <w:rPr>
      <w:rFonts w:cs="Times New Roman"/>
    </w:rPr>
  </w:style>
  <w:style w:type="paragraph" w:styleId="aa">
    <w:name w:val="footer"/>
    <w:basedOn w:val="a0"/>
    <w:link w:val="ab"/>
    <w:rsid w:val="002F5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F53BF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2F53B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2F53B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F5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F53B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F53B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2F53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F53BF"/>
    <w:rPr>
      <w:sz w:val="20"/>
      <w:szCs w:val="20"/>
    </w:rPr>
  </w:style>
  <w:style w:type="character" w:styleId="af">
    <w:name w:val="Hyperlink"/>
    <w:uiPriority w:val="99"/>
    <w:rsid w:val="002F53B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2F53B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2F53BF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2F53B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2F53B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2F53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2F53B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2F53BF"/>
    <w:pPr>
      <w:jc w:val="left"/>
    </w:pPr>
  </w:style>
  <w:style w:type="paragraph" w:customStyle="1" w:styleId="af6">
    <w:name w:val="ТаблицаЗадачника"/>
    <w:basedOn w:val="a0"/>
    <w:autoRedefine/>
    <w:rsid w:val="002F53B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2F53B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2F53B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2F53BF"/>
    <w:rPr>
      <w:rFonts w:cs="Times New Roman"/>
      <w:b/>
      <w:bCs/>
      <w:spacing w:val="0"/>
    </w:rPr>
  </w:style>
  <w:style w:type="character" w:styleId="afa">
    <w:name w:val="Emphasis"/>
    <w:qFormat/>
    <w:rsid w:val="002F53B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F53BF"/>
  </w:style>
  <w:style w:type="character" w:customStyle="1" w:styleId="NoSpacingChar">
    <w:name w:val="No Spacing Char"/>
    <w:link w:val="12"/>
    <w:locked/>
    <w:rsid w:val="002F53B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2F53BF"/>
    <w:pPr>
      <w:ind w:left="720"/>
    </w:pPr>
  </w:style>
  <w:style w:type="paragraph" w:customStyle="1" w:styleId="21">
    <w:name w:val="Цитата 21"/>
    <w:basedOn w:val="a0"/>
    <w:next w:val="a0"/>
    <w:link w:val="QuoteChar"/>
    <w:rsid w:val="002F53B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F53B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F53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F53B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F53B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F53B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F53B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F53B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F53B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F53BF"/>
    <w:pPr>
      <w:outlineLvl w:val="9"/>
    </w:pPr>
  </w:style>
  <w:style w:type="numbering" w:customStyle="1" w:styleId="38">
    <w:name w:val="Стиль нумерованный полужирный38"/>
    <w:rsid w:val="002F53BF"/>
    <w:pPr>
      <w:numPr>
        <w:numId w:val="6"/>
      </w:numPr>
    </w:pPr>
  </w:style>
  <w:style w:type="numbering" w:customStyle="1" w:styleId="124">
    <w:name w:val="Стиль нумерованный полужирный124"/>
    <w:rsid w:val="002F53BF"/>
    <w:pPr>
      <w:numPr>
        <w:numId w:val="9"/>
      </w:numPr>
    </w:pPr>
  </w:style>
  <w:style w:type="numbering" w:customStyle="1" w:styleId="66">
    <w:name w:val="Стиль нумерованный полужирный66"/>
    <w:rsid w:val="002F53BF"/>
    <w:pPr>
      <w:numPr>
        <w:numId w:val="7"/>
      </w:numPr>
    </w:pPr>
  </w:style>
  <w:style w:type="numbering" w:customStyle="1" w:styleId="54">
    <w:name w:val="Стиль нумерованный полужирный54"/>
    <w:rsid w:val="002F53BF"/>
    <w:pPr>
      <w:numPr>
        <w:numId w:val="4"/>
      </w:numPr>
    </w:pPr>
  </w:style>
  <w:style w:type="numbering" w:customStyle="1" w:styleId="246">
    <w:name w:val="Стиль нумерованный полужирный246"/>
    <w:rsid w:val="002F53BF"/>
    <w:pPr>
      <w:numPr>
        <w:numId w:val="2"/>
      </w:numPr>
    </w:pPr>
  </w:style>
  <w:style w:type="numbering" w:customStyle="1" w:styleId="146">
    <w:name w:val="Стиль нумерованный полужирный146"/>
    <w:rsid w:val="002F53BF"/>
    <w:pPr>
      <w:numPr>
        <w:numId w:val="1"/>
      </w:numPr>
    </w:pPr>
  </w:style>
  <w:style w:type="numbering" w:customStyle="1" w:styleId="44">
    <w:name w:val="Стиль нумерованный полужирный44"/>
    <w:rsid w:val="002F53BF"/>
    <w:pPr>
      <w:numPr>
        <w:numId w:val="3"/>
      </w:numPr>
    </w:pPr>
  </w:style>
  <w:style w:type="numbering" w:customStyle="1" w:styleId="225">
    <w:name w:val="Стиль нумерованный полужирный225"/>
    <w:rsid w:val="002F53BF"/>
    <w:pPr>
      <w:numPr>
        <w:numId w:val="14"/>
      </w:numPr>
    </w:pPr>
  </w:style>
  <w:style w:type="numbering" w:customStyle="1" w:styleId="76">
    <w:name w:val="Стиль нумерованный полужирный76"/>
    <w:rsid w:val="002F53BF"/>
    <w:pPr>
      <w:numPr>
        <w:numId w:val="8"/>
      </w:numPr>
    </w:pPr>
  </w:style>
  <w:style w:type="numbering" w:customStyle="1" w:styleId="74">
    <w:name w:val="Стиль нумерованный полужирный74"/>
    <w:rsid w:val="002F53BF"/>
    <w:pPr>
      <w:numPr>
        <w:numId w:val="5"/>
      </w:numPr>
    </w:pPr>
  </w:style>
  <w:style w:type="paragraph" w:customStyle="1" w:styleId="1b">
    <w:name w:val="Обычный1"/>
    <w:rsid w:val="002F53B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2F53B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2F53B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2F53B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2F53B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2F53BF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2F53B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F53B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2F53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F53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F53B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F53B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F53B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2F53B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F53BF"/>
    <w:pPr>
      <w:spacing w:after="100"/>
      <w:ind w:left="440"/>
    </w:pPr>
  </w:style>
  <w:style w:type="paragraph" w:styleId="22">
    <w:name w:val="List 2"/>
    <w:basedOn w:val="a0"/>
    <w:rsid w:val="002F53B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2F53B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F53BF"/>
    <w:pPr>
      <w:numPr>
        <w:numId w:val="11"/>
      </w:numPr>
    </w:pPr>
  </w:style>
  <w:style w:type="paragraph" w:styleId="a">
    <w:name w:val="List Bullet"/>
    <w:basedOn w:val="a0"/>
    <w:semiHidden/>
    <w:unhideWhenUsed/>
    <w:rsid w:val="002F53BF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2F53BF"/>
    <w:rPr>
      <w:color w:val="808080"/>
    </w:rPr>
  </w:style>
  <w:style w:type="paragraph" w:styleId="33">
    <w:name w:val="Body Text Indent 3"/>
    <w:basedOn w:val="a0"/>
    <w:link w:val="34"/>
    <w:rsid w:val="002F53B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F53B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F53BF"/>
    <w:pPr>
      <w:numPr>
        <w:numId w:val="13"/>
      </w:numPr>
    </w:pPr>
  </w:style>
  <w:style w:type="paragraph" w:customStyle="1" w:styleId="Normal12">
    <w:name w:val="Normal12"/>
    <w:rsid w:val="002F53B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2F53BF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2F53BF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2F5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