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359" w:rsidRPr="00232E07" w:rsidRDefault="00CC3359" w:rsidP="00CC335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19"/>
      <w:bookmarkStart w:id="4" w:name="_Toc532974362"/>
      <w:bookmarkStart w:id="5" w:name="_Toc532974972"/>
      <w:bookmarkStart w:id="6" w:name="_Toc23068524"/>
      <w:bookmarkStart w:id="7" w:name="_Toc62354338"/>
      <w:bookmarkStart w:id="8" w:name="_Hlk27147066"/>
      <w:bookmarkStart w:id="9" w:name="_Toc62404627"/>
      <w:r>
        <w:rPr>
          <w:noProof/>
          <w:lang w:val="ru-RU"/>
        </w:rPr>
        <w:t>Вариант 27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4"/>
      <w:bookmarkEnd w:id="5"/>
      <w:bookmarkEnd w:id="6"/>
      <w:bookmarkEnd w:id="7"/>
      <w:r w:rsidRPr="002A0A58">
        <w:rPr>
          <w:noProof/>
          <w:lang w:val="ru-RU"/>
        </w:rPr>
        <w:t>Автомобильные шины  (**)</w:t>
      </w:r>
      <w:bookmarkEnd w:id="9"/>
    </w:p>
    <w:p w:rsidR="00CC3359" w:rsidRDefault="00CC3359" w:rsidP="00CC3359">
      <w:pPr>
        <w:ind w:firstLine="426"/>
        <w:rPr>
          <w:lang w:val="ru-RU"/>
        </w:rPr>
      </w:pPr>
      <w:r>
        <w:rPr>
          <w:lang w:val="ru-RU"/>
        </w:rPr>
        <w:t xml:space="preserve">Компания «АШ» занимается торговлей автомобильными шинами через систему госзаказов. Это единственный канал продаж. Ежегодно компания анализирует объем продаж и прогнозирует объем на следующий год, исходя из состояния и тенденций рынка. Делая прогноз на летний шиномонтажный сезон следующего года, компания пришла к выводу, что объем госзаказов, в связи с наступившем кризисом, сократится на 50%, но не известно, какие статьи затрат сократят, а какие оставят на том же уровне, возможно, все пропорционально сократятся на 50%. В связи с этим, совершенно не понятно, какой объем закупок автошин будет в ближайшем сезоне. </w:t>
      </w:r>
    </w:p>
    <w:p w:rsidR="00CC3359" w:rsidRDefault="00CC3359" w:rsidP="00CC3359">
      <w:pPr>
        <w:ind w:firstLine="426"/>
        <w:rPr>
          <w:lang w:val="ru-RU"/>
        </w:rPr>
      </w:pPr>
      <w:r>
        <w:rPr>
          <w:lang w:val="ru-RU"/>
        </w:rPr>
        <w:t>Обычно, компания делает предзаказ товара у производителя, так она получает нужный товар в необходимом количестве по хорошей цене. В этом случае она оплачивает товар в конце шиномонтажного сезона.  Если сократить объем заказа производителю, то может получиться так, что товара не хватит и придется заказывать товар у дилеров или производителя, но из того, что есть в свободных остатках. В связи с этим, если объемы не упадут, товара может и не быть, и компания потеряет прибыль, а ее место на рынке займет кто-то другой.</w:t>
      </w:r>
    </w:p>
    <w:p w:rsidR="00CC3359" w:rsidRDefault="00CC3359" w:rsidP="00CC3359">
      <w:pPr>
        <w:ind w:firstLine="426"/>
        <w:rPr>
          <w:lang w:val="ru-RU"/>
        </w:rPr>
      </w:pPr>
      <w:r>
        <w:rPr>
          <w:lang w:val="ru-RU"/>
        </w:rPr>
        <w:t>Если же товар вообще не закупать у производителя заранее, то есть вероятность вообще лишиться возможности участвовать в тендерах, поскольку свободных остатков может вообще не оказаться.</w:t>
      </w:r>
    </w:p>
    <w:p w:rsidR="00CC3359" w:rsidRDefault="00CC3359" w:rsidP="00CC3359">
      <w:pPr>
        <w:ind w:firstLine="426"/>
        <w:rPr>
          <w:lang w:val="ru-RU"/>
        </w:rPr>
      </w:pPr>
      <w:r>
        <w:rPr>
          <w:lang w:val="ru-RU"/>
        </w:rPr>
        <w:t>В связи с этим, мы имеем три возможных варианта входа в летний сезон: 1) заказать полный объем у производителя, ожидая, что объемы не упадут, 2) заказать 50% от обычного объема у производителя заранее и, если нужен будет еще товар, докупить его в процессе у дилеров или у производителя со свободного склада и 3)вообще не заказывать товар заранее, а ориентироваться на свободный склад.</w:t>
      </w:r>
    </w:p>
    <w:p w:rsidR="00CC3359" w:rsidRDefault="00CC3359" w:rsidP="00CC3359">
      <w:pPr>
        <w:ind w:firstLine="426"/>
        <w:rPr>
          <w:lang w:val="ru-RU"/>
        </w:rPr>
      </w:pPr>
      <w:r>
        <w:rPr>
          <w:lang w:val="ru-RU"/>
        </w:rPr>
        <w:t>Для расчета наилучшего варианта следует взять следующие данные:</w:t>
      </w:r>
    </w:p>
    <w:p w:rsidR="00CC3359" w:rsidRDefault="00CC3359" w:rsidP="00CC3359">
      <w:pPr>
        <w:numPr>
          <w:ilvl w:val="0"/>
          <w:numId w:val="18"/>
        </w:numPr>
        <w:ind w:left="0" w:firstLine="426"/>
        <w:contextualSpacing/>
        <w:rPr>
          <w:lang w:val="ru-RU"/>
        </w:rPr>
      </w:pPr>
      <w:r>
        <w:rPr>
          <w:lang w:val="ru-RU"/>
        </w:rPr>
        <w:t>Если спрос упадет, то на 50%</w:t>
      </w:r>
    </w:p>
    <w:p w:rsidR="00CC3359" w:rsidRDefault="00CC3359" w:rsidP="00CC3359">
      <w:pPr>
        <w:numPr>
          <w:ilvl w:val="0"/>
          <w:numId w:val="18"/>
        </w:numPr>
        <w:ind w:left="0" w:firstLine="426"/>
        <w:contextualSpacing/>
        <w:rPr>
          <w:lang w:val="ru-RU"/>
        </w:rPr>
      </w:pPr>
      <w:r>
        <w:rPr>
          <w:lang w:val="ru-RU"/>
        </w:rPr>
        <w:t>Докупить можно будет только 50% от наибольшего объема</w:t>
      </w:r>
    </w:p>
    <w:p w:rsidR="00CC3359" w:rsidRDefault="00CC3359" w:rsidP="00CC3359">
      <w:pPr>
        <w:numPr>
          <w:ilvl w:val="0"/>
          <w:numId w:val="18"/>
        </w:numPr>
        <w:ind w:left="0" w:firstLine="426"/>
        <w:contextualSpacing/>
        <w:rPr>
          <w:lang w:val="ru-RU"/>
        </w:rPr>
      </w:pPr>
      <w:r>
        <w:rPr>
          <w:lang w:val="ru-RU"/>
        </w:rPr>
        <w:t>Докупая товар, компания теряет 25% прибыли в связи с тем, что товар дорожает во время сезона</w:t>
      </w:r>
    </w:p>
    <w:p w:rsidR="00CC3359" w:rsidRDefault="00CC3359" w:rsidP="00CC3359">
      <w:pPr>
        <w:numPr>
          <w:ilvl w:val="0"/>
          <w:numId w:val="18"/>
        </w:numPr>
        <w:ind w:left="0" w:firstLine="426"/>
        <w:contextualSpacing/>
        <w:rPr>
          <w:lang w:val="ru-RU"/>
        </w:rPr>
      </w:pPr>
      <w:r>
        <w:rPr>
          <w:lang w:val="ru-RU"/>
        </w:rPr>
        <w:t>Во время сезона цены у дилеров и производителей одинаковые</w:t>
      </w:r>
    </w:p>
    <w:p w:rsidR="00CC3359" w:rsidRDefault="00CC3359" w:rsidP="00CC3359">
      <w:pPr>
        <w:numPr>
          <w:ilvl w:val="0"/>
          <w:numId w:val="18"/>
        </w:numPr>
        <w:ind w:left="0" w:firstLine="426"/>
        <w:contextualSpacing/>
        <w:rPr>
          <w:lang w:val="ru-RU"/>
        </w:rPr>
      </w:pPr>
      <w:r>
        <w:rPr>
          <w:lang w:val="ru-RU"/>
        </w:rPr>
        <w:t>Ставка дисконтирования равна 25%</w:t>
      </w:r>
    </w:p>
    <w:p w:rsidR="00CC3359" w:rsidRDefault="00CC3359" w:rsidP="00CC3359">
      <w:pPr>
        <w:ind w:firstLine="426"/>
        <w:rPr>
          <w:lang w:val="ru-RU"/>
        </w:rPr>
      </w:pPr>
    </w:p>
    <w:p w:rsidR="00CC3359" w:rsidRDefault="00CC3359" w:rsidP="00CC3359">
      <w:pPr>
        <w:rPr>
          <w:lang w:val="ru-RU"/>
        </w:rPr>
      </w:pPr>
      <w:r>
        <w:rPr>
          <w:lang w:val="ru-RU"/>
        </w:rPr>
        <w:t xml:space="preserve">Рассчитайте </w:t>
      </w:r>
      <w:r>
        <w:t>NPV</w:t>
      </w:r>
      <w:r>
        <w:rPr>
          <w:lang w:val="ru-RU"/>
        </w:rPr>
        <w:t xml:space="preserve"> вариантов</w:t>
      </w:r>
      <w:r w:rsidRPr="00831CCD">
        <w:rPr>
          <w:lang w:val="ru-RU"/>
        </w:rPr>
        <w:t xml:space="preserve"> </w:t>
      </w:r>
      <w:r>
        <w:rPr>
          <w:lang w:val="ru-RU"/>
        </w:rPr>
        <w:t>и выберите лучшее решение.</w:t>
      </w:r>
    </w:p>
    <w:p w:rsidR="00CC3359" w:rsidRDefault="00CC3359" w:rsidP="00CC3359">
      <w:pPr>
        <w:rPr>
          <w:lang w:val="ru-RU"/>
        </w:rPr>
      </w:pPr>
    </w:p>
    <w:p w:rsidR="00CC3359" w:rsidRPr="00180646" w:rsidRDefault="00CC3359" w:rsidP="00CC3359">
      <w:pPr>
        <w:rPr>
          <w:lang w:val="ru-RU"/>
        </w:rPr>
      </w:pPr>
      <w:bookmarkStart w:id="10" w:name="_Toc62354379"/>
      <w:bookmarkEnd w:id="3"/>
      <w:bookmarkEnd w:id="8"/>
    </w:p>
    <w:bookmarkEnd w:id="10"/>
    <w:bookmarkEnd w:id="0"/>
    <w:bookmarkEnd w:id="1"/>
    <w:bookmarkEnd w:id="2"/>
    <w:sectPr w:rsidR="00CC3359" w:rsidRPr="00180646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CC3359" w:rsidP="000A78C7">
    <w:pPr>
      <w:pStyle w:val="aa"/>
      <w:rPr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CC335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0227FB9" wp14:editId="468A880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CC335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91CB70" wp14:editId="33366DD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CC335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91CB7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CC3359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CC335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CC335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CC335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CC335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CC335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:rsidR="00543307" w:rsidRPr="00637798" w:rsidRDefault="00CC335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F7D6FE4"/>
    <w:multiLevelType w:val="hybridMultilevel"/>
    <w:tmpl w:val="82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59"/>
    <w:rsid w:val="002B2C1B"/>
    <w:rsid w:val="006C0B77"/>
    <w:rsid w:val="008242FF"/>
    <w:rsid w:val="00870751"/>
    <w:rsid w:val="00922C48"/>
    <w:rsid w:val="00B915B7"/>
    <w:rsid w:val="00CC3359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2254-ABBD-4EA2-BEFD-5BB185D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335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C335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C335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C335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C335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C335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C335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C335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C335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C335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C335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C335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C335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C335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C335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C335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C335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C335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C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C335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C3359"/>
    <w:pPr>
      <w:numPr>
        <w:numId w:val="10"/>
      </w:numPr>
    </w:pPr>
  </w:style>
  <w:style w:type="paragraph" w:styleId="a6">
    <w:name w:val="Block Text"/>
    <w:basedOn w:val="a0"/>
    <w:rsid w:val="00CC335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C335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C3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C3359"/>
    <w:rPr>
      <w:rFonts w:ascii="Calibri" w:eastAsia="Times New Roman" w:hAnsi="Calibri" w:cs="Calibri"/>
      <w:lang w:val="en-US"/>
    </w:rPr>
  </w:style>
  <w:style w:type="character" w:styleId="a9">
    <w:name w:val="page number"/>
    <w:rsid w:val="00CC3359"/>
    <w:rPr>
      <w:rFonts w:cs="Times New Roman"/>
    </w:rPr>
  </w:style>
  <w:style w:type="paragraph" w:styleId="aa">
    <w:name w:val="footer"/>
    <w:basedOn w:val="a0"/>
    <w:link w:val="ab"/>
    <w:rsid w:val="00CC3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C335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C335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C335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C3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C335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C335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C33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C3359"/>
    <w:rPr>
      <w:sz w:val="20"/>
      <w:szCs w:val="20"/>
    </w:rPr>
  </w:style>
  <w:style w:type="character" w:styleId="af">
    <w:name w:val="Hyperlink"/>
    <w:uiPriority w:val="99"/>
    <w:rsid w:val="00CC335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C335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C335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C335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C335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C335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C335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C3359"/>
    <w:pPr>
      <w:jc w:val="left"/>
    </w:pPr>
  </w:style>
  <w:style w:type="paragraph" w:customStyle="1" w:styleId="af6">
    <w:name w:val="ТаблицаЗадачника"/>
    <w:basedOn w:val="a0"/>
    <w:autoRedefine/>
    <w:rsid w:val="00CC335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C335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C335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C3359"/>
    <w:rPr>
      <w:rFonts w:cs="Times New Roman"/>
      <w:b/>
      <w:bCs/>
      <w:spacing w:val="0"/>
    </w:rPr>
  </w:style>
  <w:style w:type="character" w:styleId="afa">
    <w:name w:val="Emphasis"/>
    <w:qFormat/>
    <w:rsid w:val="00CC335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C3359"/>
  </w:style>
  <w:style w:type="character" w:customStyle="1" w:styleId="NoSpacingChar">
    <w:name w:val="No Spacing Char"/>
    <w:link w:val="12"/>
    <w:locked/>
    <w:rsid w:val="00CC335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C3359"/>
    <w:pPr>
      <w:ind w:left="720"/>
    </w:pPr>
  </w:style>
  <w:style w:type="paragraph" w:customStyle="1" w:styleId="21">
    <w:name w:val="Цитата 21"/>
    <w:basedOn w:val="a0"/>
    <w:next w:val="a0"/>
    <w:link w:val="QuoteChar"/>
    <w:rsid w:val="00CC335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C335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C335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C335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C335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C335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C335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C335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C335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C3359"/>
    <w:pPr>
      <w:outlineLvl w:val="9"/>
    </w:pPr>
  </w:style>
  <w:style w:type="numbering" w:customStyle="1" w:styleId="38">
    <w:name w:val="Стиль нумерованный полужирный38"/>
    <w:rsid w:val="00CC3359"/>
    <w:pPr>
      <w:numPr>
        <w:numId w:val="6"/>
      </w:numPr>
    </w:pPr>
  </w:style>
  <w:style w:type="numbering" w:customStyle="1" w:styleId="124">
    <w:name w:val="Стиль нумерованный полужирный124"/>
    <w:rsid w:val="00CC3359"/>
    <w:pPr>
      <w:numPr>
        <w:numId w:val="9"/>
      </w:numPr>
    </w:pPr>
  </w:style>
  <w:style w:type="numbering" w:customStyle="1" w:styleId="66">
    <w:name w:val="Стиль нумерованный полужирный66"/>
    <w:rsid w:val="00CC3359"/>
    <w:pPr>
      <w:numPr>
        <w:numId w:val="7"/>
      </w:numPr>
    </w:pPr>
  </w:style>
  <w:style w:type="numbering" w:customStyle="1" w:styleId="54">
    <w:name w:val="Стиль нумерованный полужирный54"/>
    <w:rsid w:val="00CC3359"/>
    <w:pPr>
      <w:numPr>
        <w:numId w:val="4"/>
      </w:numPr>
    </w:pPr>
  </w:style>
  <w:style w:type="numbering" w:customStyle="1" w:styleId="246">
    <w:name w:val="Стиль нумерованный полужирный246"/>
    <w:rsid w:val="00CC3359"/>
    <w:pPr>
      <w:numPr>
        <w:numId w:val="2"/>
      </w:numPr>
    </w:pPr>
  </w:style>
  <w:style w:type="numbering" w:customStyle="1" w:styleId="146">
    <w:name w:val="Стиль нумерованный полужирный146"/>
    <w:rsid w:val="00CC3359"/>
    <w:pPr>
      <w:numPr>
        <w:numId w:val="1"/>
      </w:numPr>
    </w:pPr>
  </w:style>
  <w:style w:type="numbering" w:customStyle="1" w:styleId="44">
    <w:name w:val="Стиль нумерованный полужирный44"/>
    <w:rsid w:val="00CC3359"/>
    <w:pPr>
      <w:numPr>
        <w:numId w:val="3"/>
      </w:numPr>
    </w:pPr>
  </w:style>
  <w:style w:type="numbering" w:customStyle="1" w:styleId="225">
    <w:name w:val="Стиль нумерованный полужирный225"/>
    <w:rsid w:val="00CC3359"/>
    <w:pPr>
      <w:numPr>
        <w:numId w:val="14"/>
      </w:numPr>
    </w:pPr>
  </w:style>
  <w:style w:type="numbering" w:customStyle="1" w:styleId="76">
    <w:name w:val="Стиль нумерованный полужирный76"/>
    <w:rsid w:val="00CC3359"/>
    <w:pPr>
      <w:numPr>
        <w:numId w:val="8"/>
      </w:numPr>
    </w:pPr>
  </w:style>
  <w:style w:type="numbering" w:customStyle="1" w:styleId="74">
    <w:name w:val="Стиль нумерованный полужирный74"/>
    <w:rsid w:val="00CC3359"/>
    <w:pPr>
      <w:numPr>
        <w:numId w:val="5"/>
      </w:numPr>
    </w:pPr>
  </w:style>
  <w:style w:type="paragraph" w:customStyle="1" w:styleId="1b">
    <w:name w:val="Обычный1"/>
    <w:rsid w:val="00CC335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C335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C335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C335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C335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C335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C335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C335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C3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C3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C335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C335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C335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C335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C3359"/>
    <w:pPr>
      <w:spacing w:after="100"/>
      <w:ind w:left="440"/>
    </w:pPr>
  </w:style>
  <w:style w:type="paragraph" w:styleId="22">
    <w:name w:val="List 2"/>
    <w:basedOn w:val="a0"/>
    <w:rsid w:val="00CC335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C335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C3359"/>
    <w:pPr>
      <w:numPr>
        <w:numId w:val="11"/>
      </w:numPr>
    </w:pPr>
  </w:style>
  <w:style w:type="paragraph" w:styleId="a">
    <w:name w:val="List Bullet"/>
    <w:basedOn w:val="a0"/>
    <w:semiHidden/>
    <w:unhideWhenUsed/>
    <w:rsid w:val="00CC335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C3359"/>
    <w:rPr>
      <w:color w:val="808080"/>
    </w:rPr>
  </w:style>
  <w:style w:type="paragraph" w:styleId="33">
    <w:name w:val="Body Text Indent 3"/>
    <w:basedOn w:val="a0"/>
    <w:link w:val="34"/>
    <w:rsid w:val="00CC335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C335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C3359"/>
    <w:pPr>
      <w:numPr>
        <w:numId w:val="13"/>
      </w:numPr>
    </w:pPr>
  </w:style>
  <w:style w:type="paragraph" w:customStyle="1" w:styleId="Normal12">
    <w:name w:val="Normal12"/>
    <w:rsid w:val="00CC335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CC3359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CC3359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CC3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