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731" w:rsidRPr="00232E07" w:rsidRDefault="006B7731" w:rsidP="006B7731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35082372"/>
      <w:bookmarkStart w:id="4" w:name="_Toc35791662"/>
      <w:bookmarkStart w:id="5" w:name="_Toc35862982"/>
      <w:bookmarkStart w:id="6" w:name="_Toc35900618"/>
      <w:bookmarkStart w:id="7" w:name="_Toc35901176"/>
      <w:bookmarkStart w:id="8" w:name="_Toc36017084"/>
      <w:bookmarkStart w:id="9" w:name="_Ref85012870"/>
      <w:bookmarkStart w:id="10" w:name="_Toc84424522"/>
      <w:bookmarkStart w:id="11" w:name="_Toc84597492"/>
      <w:bookmarkStart w:id="12" w:name="_Toc85483425"/>
      <w:bookmarkStart w:id="13" w:name="_Toc85530321"/>
      <w:bookmarkStart w:id="14" w:name="_Toc86333740"/>
      <w:bookmarkStart w:id="15" w:name="_Toc86498809"/>
      <w:bookmarkStart w:id="16" w:name="_Toc62354336"/>
      <w:bookmarkStart w:id="17" w:name="_Hlk496271016"/>
      <w:bookmarkStart w:id="18" w:name="_Hlk27147049"/>
      <w:bookmarkStart w:id="19" w:name="_Toc62404625"/>
      <w:r>
        <w:rPr>
          <w:noProof/>
          <w:lang w:val="ru-RU"/>
        </w:rPr>
        <w:t>Вариант 25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43307">
        <w:rPr>
          <w:noProof/>
          <w:lang w:val="ru-RU"/>
        </w:rPr>
        <w:t xml:space="preserve">Повышение квалификации </w:t>
      </w:r>
      <w:r w:rsidRPr="00543307">
        <w:rPr>
          <w:noProof/>
          <w:sz w:val="28"/>
          <w:lang w:val="ru-RU"/>
        </w:rPr>
        <w:t>(***)</w:t>
      </w:r>
      <w:bookmarkEnd w:id="19"/>
    </w:p>
    <w:p w:rsidR="006B7731" w:rsidRPr="0045493D" w:rsidRDefault="006B7731" w:rsidP="006B773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Сотрудник одного из Министерств, достигнувший 40-летнего возраста, стоит перед  выбором одной из трех альтернатив и  для продолжения трудовой деятельности  у нег есть возможность  </w:t>
      </w:r>
    </w:p>
    <w:p w:rsidR="006B7731" w:rsidRPr="0045493D" w:rsidRDefault="006B7731" w:rsidP="006B773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а) пройти 2-х летнее вечернее обучение в Институте А, за которое необходимо оплатить по 5000 у.е. в начале   каждого учебного года;      </w:t>
      </w:r>
    </w:p>
    <w:p w:rsidR="006B7731" w:rsidRPr="0045493D" w:rsidRDefault="006B7731" w:rsidP="006B773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б) пройти 3-х летнее вечернее обучение в Университете Б, за которое необходимо оплатить по 2000 у.е. в начале   каждого учебного года;   </w:t>
      </w:r>
    </w:p>
    <w:p w:rsidR="006B7731" w:rsidRPr="0045493D" w:rsidRDefault="006B7731" w:rsidP="006B773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в) не повышать квалификацию и продолжать работать, пытаясь найти хорошо оплачиваемую должность. В случае отказа от учебы чиновник оценивает свои шансы удачно занять должность с годовым доходом 13200 у.е. как 10 к 90. В противном случае в течение ближайших 13 лет он будет занимать должность с годовым доходом 7200 у.е.  </w:t>
      </w:r>
    </w:p>
    <w:p w:rsidR="006B7731" w:rsidRPr="0045493D" w:rsidRDefault="006B7731" w:rsidP="006B773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По сведениям, полученным в деканате А, во время 1-ого года обучения 20-ти процентам обучающихся удается найти работу со средним годовым доходом 9600 у.е.,  а 80-ти процентам - со средним доходом 4800 у.е. Во время 2-ого года обучения  этим двум группам удается увеличить годовой доход до 14400 у.е. и 6000 у.е. соотв-но. После окончания А группе с доходом 14400 у.е. с 80%-ой вероятностью предлагаются места с годовым доходом 24000 у.е., который удается сохранить как  минимум на 11 лет. Остальные 20% из них имеют среднегодовой доход 14400 у.е. на ту же перспективу.   Тем же выпускникам А, кто получал доход 6000 у.е., с 70%-ой вероятностью  удается увеличить годовой доход до 24000 у.е. и далее сохранить его как минимум  на 11 лет. В противном случае их вероятный среднегодовой доход на этот же период -  14400 у.е.</w:t>
      </w:r>
    </w:p>
    <w:p w:rsidR="006B7731" w:rsidRPr="0045493D" w:rsidRDefault="006B7731" w:rsidP="006B773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Статистика доходов обучающихся и выпускников Б свидетельствовует о следующем. 20% обучающихся имеют среднегодовой доход 9600, 10800 и 12000 у.е. в 1-й,  2-й и 3-й годы обучения соответственно. При этом 60% из них после выпуска   имеют совокупный (за 10 лет) доход 180000 у.е., а 40% - 120000 у.е.    80% обучающихся имеют среднегодовой доход 4800, 6000 и 7200 в 1-й,  2-й и 3-й годы обучения соответственно. При этом 60% из них после выпуска  имеют совокупный (за 10 лет) доход 120000 у.е., а 40% - 72000 у.е. </w:t>
      </w:r>
    </w:p>
    <w:p w:rsidR="006B7731" w:rsidRPr="0045493D" w:rsidRDefault="006B7731" w:rsidP="006B773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Какая из трех альтернатив будет более выгодна для сотрудника, если он хочет  принять решение по критерию максимальной прибыли, которая   может быть им получена за ближайшие 13 лет?</w:t>
      </w:r>
    </w:p>
    <w:p w:rsidR="006B7731" w:rsidRPr="0045493D" w:rsidRDefault="006B7731" w:rsidP="006B7731">
      <w:pPr>
        <w:ind w:firstLine="426"/>
        <w:rPr>
          <w:rFonts w:eastAsia="Arial Unicode MS"/>
          <w:noProof/>
          <w:lang w:val="ru-RU"/>
        </w:rPr>
      </w:pPr>
      <w:r w:rsidRPr="0045493D">
        <w:rPr>
          <w:noProof/>
          <w:lang w:val="ru-RU"/>
        </w:rPr>
        <w:t>Является ли решение устойчивым при существенном снижении прогнозируемых годовых доходов выпускника А или при значительном снижении вероятности получения удачного варианта дохода выпускником А?</w:t>
      </w:r>
    </w:p>
    <w:p w:rsidR="006B7731" w:rsidRDefault="006B7731" w:rsidP="006B7731">
      <w:pPr>
        <w:rPr>
          <w:noProof/>
          <w:lang w:val="ru-RU"/>
        </w:rPr>
      </w:pPr>
    </w:p>
    <w:p w:rsidR="006B7731" w:rsidRPr="00232E07" w:rsidRDefault="006B7731" w:rsidP="006B7731">
      <w:pPr>
        <w:rPr>
          <w:noProof/>
          <w:lang w:val="ru-RU"/>
        </w:rPr>
      </w:pPr>
      <w:bookmarkStart w:id="20" w:name="_Hlk496271019"/>
      <w:bookmarkEnd w:id="17"/>
    </w:p>
    <w:bookmarkEnd w:id="18"/>
    <w:bookmarkEnd w:id="20"/>
    <w:bookmarkEnd w:id="0"/>
    <w:bookmarkEnd w:id="1"/>
    <w:bookmarkEnd w:id="2"/>
    <w:sectPr w:rsidR="006B773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6B7731" w:rsidP="000A78C7">
    <w:pPr>
      <w:pStyle w:val="aa"/>
      <w:rPr>
        <w:lang w:val="ru-RU"/>
      </w:rPr>
    </w:pPr>
    <w:bookmarkStart w:id="26" w:name="_Hlk62336413"/>
    <w:bookmarkStart w:id="27" w:name="_Hlk62336414"/>
    <w:bookmarkStart w:id="28" w:name="_Hlk62336853"/>
    <w:bookmarkStart w:id="29" w:name="_Hlk62336854"/>
    <w:bookmarkStart w:id="30" w:name="_Hlk62338166"/>
    <w:bookmarkStart w:id="31" w:name="_Hlk62338167"/>
    <w:bookmarkStart w:id="32" w:name="_Hlk62338551"/>
    <w:bookmarkStart w:id="33" w:name="_Hlk62338552"/>
    <w:bookmarkStart w:id="34" w:name="_Hlk62338581"/>
    <w:bookmarkStart w:id="35" w:name="_Hlk62338582"/>
    <w:bookmarkStart w:id="36" w:name="_Hlk62338687"/>
    <w:bookmarkStart w:id="37" w:name="_Hlk62338688"/>
    <w:bookmarkStart w:id="38" w:name="_Hlk62338693"/>
    <w:bookmarkStart w:id="39" w:name="_Hlk62338694"/>
    <w:bookmarkStart w:id="40" w:name="_Hlk62338700"/>
    <w:bookmarkStart w:id="41" w:name="_Hlk62338701"/>
    <w:bookmarkStart w:id="42" w:name="_Hlk62338706"/>
    <w:bookmarkStart w:id="43" w:name="_Hlk62338707"/>
    <w:bookmarkStart w:id="44" w:name="_Hlk62344989"/>
    <w:bookmarkStart w:id="45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6B773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1" w:name="_Hlk62344956"/>
    <w:bookmarkStart w:id="22" w:name="_Hlk62344957"/>
    <w:bookmarkStart w:id="23" w:name="_Hlk62345747"/>
    <w:bookmarkStart w:id="2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BDF45B6" wp14:editId="3F82646F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6B773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53BFFC" wp14:editId="0FF8C8D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6B773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53BFF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6B7731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6B773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6B773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6B773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6B773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6B773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5"/>
  <w:p w:rsidR="00543307" w:rsidRPr="00637798" w:rsidRDefault="006B773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31"/>
    <w:rsid w:val="002B2C1B"/>
    <w:rsid w:val="006B7731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4EC52-6B7C-418A-A901-91143297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B773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B773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B773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B773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B773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B773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B773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B773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B773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6B773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B773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B773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B773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B773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B773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B773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B773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B773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B7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B77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B7731"/>
    <w:pPr>
      <w:numPr>
        <w:numId w:val="10"/>
      </w:numPr>
    </w:pPr>
  </w:style>
  <w:style w:type="paragraph" w:styleId="a6">
    <w:name w:val="Block Text"/>
    <w:basedOn w:val="a0"/>
    <w:rsid w:val="006B773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B773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B7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B7731"/>
    <w:rPr>
      <w:rFonts w:ascii="Calibri" w:eastAsia="Times New Roman" w:hAnsi="Calibri" w:cs="Calibri"/>
      <w:lang w:val="en-US"/>
    </w:rPr>
  </w:style>
  <w:style w:type="character" w:styleId="a9">
    <w:name w:val="page number"/>
    <w:rsid w:val="006B7731"/>
    <w:rPr>
      <w:rFonts w:cs="Times New Roman"/>
    </w:rPr>
  </w:style>
  <w:style w:type="paragraph" w:styleId="aa">
    <w:name w:val="footer"/>
    <w:basedOn w:val="a0"/>
    <w:link w:val="ab"/>
    <w:rsid w:val="006B77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B773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6B773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B773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B7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B773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B773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B77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B7731"/>
    <w:rPr>
      <w:sz w:val="20"/>
      <w:szCs w:val="20"/>
    </w:rPr>
  </w:style>
  <w:style w:type="character" w:styleId="af">
    <w:name w:val="Hyperlink"/>
    <w:uiPriority w:val="99"/>
    <w:rsid w:val="006B773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B773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B773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6B773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B773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B773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B773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6B7731"/>
    <w:pPr>
      <w:jc w:val="left"/>
    </w:pPr>
  </w:style>
  <w:style w:type="paragraph" w:customStyle="1" w:styleId="af6">
    <w:name w:val="ТаблицаЗадачника"/>
    <w:basedOn w:val="a0"/>
    <w:autoRedefine/>
    <w:rsid w:val="006B773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B773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B773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B7731"/>
    <w:rPr>
      <w:rFonts w:cs="Times New Roman"/>
      <w:b/>
      <w:bCs/>
      <w:spacing w:val="0"/>
    </w:rPr>
  </w:style>
  <w:style w:type="character" w:styleId="afa">
    <w:name w:val="Emphasis"/>
    <w:qFormat/>
    <w:rsid w:val="006B773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B7731"/>
  </w:style>
  <w:style w:type="character" w:customStyle="1" w:styleId="NoSpacingChar">
    <w:name w:val="No Spacing Char"/>
    <w:link w:val="12"/>
    <w:locked/>
    <w:rsid w:val="006B773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B7731"/>
    <w:pPr>
      <w:ind w:left="720"/>
    </w:pPr>
  </w:style>
  <w:style w:type="paragraph" w:customStyle="1" w:styleId="21">
    <w:name w:val="Цитата 21"/>
    <w:basedOn w:val="a0"/>
    <w:next w:val="a0"/>
    <w:link w:val="QuoteChar"/>
    <w:rsid w:val="006B773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B773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B773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B773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B773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B773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B773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B773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B773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B7731"/>
    <w:pPr>
      <w:outlineLvl w:val="9"/>
    </w:pPr>
  </w:style>
  <w:style w:type="numbering" w:customStyle="1" w:styleId="38">
    <w:name w:val="Стиль нумерованный полужирный38"/>
    <w:rsid w:val="006B7731"/>
    <w:pPr>
      <w:numPr>
        <w:numId w:val="6"/>
      </w:numPr>
    </w:pPr>
  </w:style>
  <w:style w:type="numbering" w:customStyle="1" w:styleId="124">
    <w:name w:val="Стиль нумерованный полужирный124"/>
    <w:rsid w:val="006B7731"/>
    <w:pPr>
      <w:numPr>
        <w:numId w:val="9"/>
      </w:numPr>
    </w:pPr>
  </w:style>
  <w:style w:type="numbering" w:customStyle="1" w:styleId="66">
    <w:name w:val="Стиль нумерованный полужирный66"/>
    <w:rsid w:val="006B7731"/>
    <w:pPr>
      <w:numPr>
        <w:numId w:val="7"/>
      </w:numPr>
    </w:pPr>
  </w:style>
  <w:style w:type="numbering" w:customStyle="1" w:styleId="54">
    <w:name w:val="Стиль нумерованный полужирный54"/>
    <w:rsid w:val="006B7731"/>
    <w:pPr>
      <w:numPr>
        <w:numId w:val="4"/>
      </w:numPr>
    </w:pPr>
  </w:style>
  <w:style w:type="numbering" w:customStyle="1" w:styleId="246">
    <w:name w:val="Стиль нумерованный полужирный246"/>
    <w:rsid w:val="006B7731"/>
    <w:pPr>
      <w:numPr>
        <w:numId w:val="2"/>
      </w:numPr>
    </w:pPr>
  </w:style>
  <w:style w:type="numbering" w:customStyle="1" w:styleId="146">
    <w:name w:val="Стиль нумерованный полужирный146"/>
    <w:rsid w:val="006B7731"/>
    <w:pPr>
      <w:numPr>
        <w:numId w:val="1"/>
      </w:numPr>
    </w:pPr>
  </w:style>
  <w:style w:type="numbering" w:customStyle="1" w:styleId="44">
    <w:name w:val="Стиль нумерованный полужирный44"/>
    <w:rsid w:val="006B7731"/>
    <w:pPr>
      <w:numPr>
        <w:numId w:val="3"/>
      </w:numPr>
    </w:pPr>
  </w:style>
  <w:style w:type="numbering" w:customStyle="1" w:styleId="225">
    <w:name w:val="Стиль нумерованный полужирный225"/>
    <w:rsid w:val="006B7731"/>
    <w:pPr>
      <w:numPr>
        <w:numId w:val="14"/>
      </w:numPr>
    </w:pPr>
  </w:style>
  <w:style w:type="numbering" w:customStyle="1" w:styleId="76">
    <w:name w:val="Стиль нумерованный полужирный76"/>
    <w:rsid w:val="006B7731"/>
    <w:pPr>
      <w:numPr>
        <w:numId w:val="8"/>
      </w:numPr>
    </w:pPr>
  </w:style>
  <w:style w:type="numbering" w:customStyle="1" w:styleId="74">
    <w:name w:val="Стиль нумерованный полужирный74"/>
    <w:rsid w:val="006B7731"/>
    <w:pPr>
      <w:numPr>
        <w:numId w:val="5"/>
      </w:numPr>
    </w:pPr>
  </w:style>
  <w:style w:type="paragraph" w:customStyle="1" w:styleId="1b">
    <w:name w:val="Обычный1"/>
    <w:rsid w:val="006B773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B773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B773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B773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B773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B773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B773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B773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B77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B77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B773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B773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B773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B773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B7731"/>
    <w:pPr>
      <w:spacing w:after="100"/>
      <w:ind w:left="440"/>
    </w:pPr>
  </w:style>
  <w:style w:type="paragraph" w:styleId="22">
    <w:name w:val="List 2"/>
    <w:basedOn w:val="a0"/>
    <w:rsid w:val="006B773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B773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B7731"/>
    <w:pPr>
      <w:numPr>
        <w:numId w:val="11"/>
      </w:numPr>
    </w:pPr>
  </w:style>
  <w:style w:type="paragraph" w:styleId="a">
    <w:name w:val="List Bullet"/>
    <w:basedOn w:val="a0"/>
    <w:semiHidden/>
    <w:unhideWhenUsed/>
    <w:rsid w:val="006B7731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B7731"/>
    <w:rPr>
      <w:color w:val="808080"/>
    </w:rPr>
  </w:style>
  <w:style w:type="paragraph" w:styleId="33">
    <w:name w:val="Body Text Indent 3"/>
    <w:basedOn w:val="a0"/>
    <w:link w:val="34"/>
    <w:rsid w:val="006B773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B773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B7731"/>
    <w:pPr>
      <w:numPr>
        <w:numId w:val="13"/>
      </w:numPr>
    </w:pPr>
  </w:style>
  <w:style w:type="paragraph" w:customStyle="1" w:styleId="Normal12">
    <w:name w:val="Normal12"/>
    <w:rsid w:val="006B773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6B7731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6B7731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6B7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