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9E9" w:rsidRPr="00232E07" w:rsidRDefault="00CC69E9" w:rsidP="00CC69E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082384"/>
      <w:bookmarkStart w:id="4" w:name="_Toc35791674"/>
      <w:bookmarkStart w:id="5" w:name="_Toc35862994"/>
      <w:bookmarkStart w:id="6" w:name="_Toc35900630"/>
      <w:bookmarkStart w:id="7" w:name="_Toc35901188"/>
      <w:bookmarkStart w:id="8" w:name="_Toc36017097"/>
      <w:bookmarkStart w:id="9" w:name="_Toc58640201"/>
      <w:bookmarkStart w:id="10" w:name="_Toc62354376"/>
      <w:bookmarkStart w:id="11" w:name="_Hlk27147340"/>
      <w:bookmarkStart w:id="12" w:name="_Hlk496271136"/>
      <w:r>
        <w:rPr>
          <w:noProof/>
          <w:lang w:val="ru-RU"/>
        </w:rPr>
        <w:t>Вариант 65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Грузопассажирское судно «Азия»</w:t>
      </w:r>
      <w:bookmarkEnd w:id="3"/>
      <w:bookmarkEnd w:id="4"/>
      <w:bookmarkEnd w:id="5"/>
      <w:bookmarkEnd w:id="6"/>
      <w:bookmarkEnd w:id="7"/>
      <w:bookmarkEnd w:id="8"/>
      <w:bookmarkEnd w:id="9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10"/>
    </w:p>
    <w:p w:rsidR="00CC69E9" w:rsidRDefault="00CC69E9" w:rsidP="00CC69E9">
      <w:pPr>
        <w:rPr>
          <w:noProof/>
          <w:lang w:val="ru-RU"/>
        </w:rPr>
      </w:pPr>
      <w:r w:rsidRPr="00232E07">
        <w:rPr>
          <w:noProof/>
          <w:lang w:val="ru-RU"/>
        </w:rPr>
        <w:t>Грузопассажирское судно водоизмещением 5000 тонн имеет 5 грузовых отсеков объемом: 600,  1500 , 1500, 1450 и 700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. </w:t>
      </w:r>
    </w:p>
    <w:p w:rsidR="00CC69E9" w:rsidRDefault="00CC69E9" w:rsidP="00CC69E9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Суперкарго </w:t>
      </w:r>
      <w:r>
        <w:rPr>
          <w:noProof/>
          <w:lang w:val="ru-RU"/>
        </w:rPr>
        <w:t>рассматривает</w:t>
      </w:r>
      <w:r w:rsidRPr="00232E07">
        <w:rPr>
          <w:noProof/>
          <w:lang w:val="ru-RU"/>
        </w:rPr>
        <w:t xml:space="preserve"> 8 видов груза со следующими характеристиками 1 единицы:  мини-тракторы – вес 300 кг,  объем 3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 бумага – 1500 кг , 1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 контейнеры – 5 т., 7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металлопрокат – 35 т., 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пиломатериалы – 5 т, 6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трубы большого диаметра – 2300 кг, 7.5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фарфор в ящиках – 200 кг, 1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чай в мешках – 100 кг, 0.5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.  </w:t>
      </w:r>
    </w:p>
    <w:p w:rsidR="00CC69E9" w:rsidRPr="00232E07" w:rsidRDefault="00CC69E9" w:rsidP="00CC69E9">
      <w:pPr>
        <w:rPr>
          <w:noProof/>
          <w:lang w:val="ru-RU"/>
        </w:rPr>
      </w:pPr>
      <w:r w:rsidRPr="00232E07">
        <w:rPr>
          <w:noProof/>
          <w:lang w:val="ru-RU"/>
        </w:rPr>
        <w:t>Предлагаемое к перевозке количество груза: 50, 2000, 100, 100, 350, 500, 1000 и 1200 единиц соответственно. Цены на перевозку единицы груза: 9,  22.5, 50, 280, 100, 34.5, 10 и 2.8 долларов USA.  Суперкарго должен обеспечить следующее распределение весов по отсекам: 700, 1000, 1500, 1000 и 800 тонн (не более).</w:t>
      </w:r>
    </w:p>
    <w:p w:rsidR="00CC69E9" w:rsidRPr="00232E07" w:rsidRDefault="00CC69E9" w:rsidP="00CC69E9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Можно взять любую часть каждого груза. </w:t>
      </w:r>
    </w:p>
    <w:p w:rsidR="00CC69E9" w:rsidRPr="00232E07" w:rsidRDefault="00CC69E9" w:rsidP="00CC69E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какое количество каждого груза нужно взять и как распределить его по отсекам, чтобы максимизировать прибыль от перевозки в предстоящем рейсе.</w:t>
      </w:r>
    </w:p>
    <w:p w:rsidR="00CC69E9" w:rsidRPr="00232E07" w:rsidRDefault="00CC69E9" w:rsidP="00CC69E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Допустим, что владельцы невыгодных грузов готовы к переговорам. На сколько Вы потребуете поднять оплату за единицу груза, чтобы принять их груз?</w:t>
      </w:r>
    </w:p>
    <w:p w:rsidR="00CC69E9" w:rsidRDefault="00CC69E9" w:rsidP="00CC69E9">
      <w:pPr>
        <w:rPr>
          <w:lang w:val="ru-RU"/>
        </w:rPr>
      </w:pPr>
    </w:p>
    <w:p w:rsidR="00CC69E9" w:rsidRPr="00232E07" w:rsidRDefault="00CC69E9" w:rsidP="00CC69E9">
      <w:pPr>
        <w:rPr>
          <w:noProof/>
          <w:lang w:val="ru-RU"/>
        </w:rPr>
      </w:pPr>
    </w:p>
    <w:bookmarkEnd w:id="11"/>
    <w:bookmarkEnd w:id="12"/>
    <w:bookmarkEnd w:id="0"/>
    <w:bookmarkEnd w:id="1"/>
    <w:bookmarkEnd w:id="2"/>
    <w:sectPr w:rsidR="00CC69E9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C69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CC69E9" w:rsidP="000A78C7">
    <w:pPr>
      <w:pStyle w:val="aa"/>
    </w:pPr>
    <w:bookmarkStart w:id="18" w:name="_Hlk62336413"/>
    <w:bookmarkStart w:id="19" w:name="_Hlk62336414"/>
    <w:bookmarkStart w:id="20" w:name="_Hlk62336853"/>
    <w:bookmarkStart w:id="21" w:name="_Hlk62336854"/>
    <w:bookmarkStart w:id="22" w:name="_Hlk62338166"/>
    <w:bookmarkStart w:id="23" w:name="_Hlk62338167"/>
    <w:bookmarkStart w:id="24" w:name="_Hlk62338551"/>
    <w:bookmarkStart w:id="25" w:name="_Hlk62338552"/>
    <w:bookmarkStart w:id="26" w:name="_Hlk62338581"/>
    <w:bookmarkStart w:id="27" w:name="_Hlk62338582"/>
    <w:bookmarkStart w:id="28" w:name="_Hlk62338687"/>
    <w:bookmarkStart w:id="29" w:name="_Hlk62338688"/>
    <w:bookmarkStart w:id="30" w:name="_Hlk62338693"/>
    <w:bookmarkStart w:id="31" w:name="_Hlk62338694"/>
    <w:bookmarkStart w:id="32" w:name="_Hlk62338700"/>
    <w:bookmarkStart w:id="33" w:name="_Hlk62338701"/>
    <w:bookmarkStart w:id="34" w:name="_Hlk62338706"/>
    <w:bookmarkStart w:id="35" w:name="_Hlk62338707"/>
    <w:bookmarkStart w:id="36" w:name="_Hlk62344989"/>
    <w:bookmarkStart w:id="37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C69E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C69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CC69E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3" w:name="_Hlk62344956"/>
    <w:bookmarkStart w:id="14" w:name="_Hlk62344957"/>
    <w:bookmarkStart w:id="15" w:name="_Hlk62345747"/>
    <w:bookmarkStart w:id="16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12A9964" wp14:editId="7A4B5A2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7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CC69E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CE9FA7" wp14:editId="0CCF8B8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CC69E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CE9FA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CC69E9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CC69E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CC69E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CC69E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CC69E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CC69E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7"/>
  <w:p w:rsidR="00461537" w:rsidRPr="00637798" w:rsidRDefault="00CC69E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3"/>
    <w:bookmarkEnd w:id="14"/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C69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AE20294"/>
    <w:multiLevelType w:val="hybridMultilevel"/>
    <w:tmpl w:val="2B46820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9"/>
    <w:rsid w:val="002B2C1B"/>
    <w:rsid w:val="006C0B77"/>
    <w:rsid w:val="008242FF"/>
    <w:rsid w:val="00870751"/>
    <w:rsid w:val="00922C48"/>
    <w:rsid w:val="00B915B7"/>
    <w:rsid w:val="00CC69E9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AED-0AEA-41C0-B036-489BFA6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69E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C69E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C69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C69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C69E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C69E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C69E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C69E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C69E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C69E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C69E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C69E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C69E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C69E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C69E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C69E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C69E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C69E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C6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C69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C69E9"/>
    <w:pPr>
      <w:numPr>
        <w:numId w:val="11"/>
      </w:numPr>
    </w:pPr>
  </w:style>
  <w:style w:type="paragraph" w:styleId="a6">
    <w:name w:val="Block Text"/>
    <w:basedOn w:val="a0"/>
    <w:rsid w:val="00CC69E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C69E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C6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C69E9"/>
    <w:rPr>
      <w:rFonts w:ascii="Calibri" w:eastAsia="Times New Roman" w:hAnsi="Calibri" w:cs="Calibri"/>
      <w:lang w:val="en-US"/>
    </w:rPr>
  </w:style>
  <w:style w:type="character" w:styleId="a9">
    <w:name w:val="page number"/>
    <w:rsid w:val="00CC69E9"/>
    <w:rPr>
      <w:rFonts w:cs="Times New Roman"/>
    </w:rPr>
  </w:style>
  <w:style w:type="paragraph" w:styleId="aa">
    <w:name w:val="footer"/>
    <w:basedOn w:val="a0"/>
    <w:link w:val="ab"/>
    <w:rsid w:val="00CC6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C69E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C69E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C69E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C6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C69E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C69E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C69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C69E9"/>
    <w:rPr>
      <w:sz w:val="20"/>
      <w:szCs w:val="20"/>
    </w:rPr>
  </w:style>
  <w:style w:type="character" w:styleId="af">
    <w:name w:val="Hyperlink"/>
    <w:uiPriority w:val="99"/>
    <w:rsid w:val="00CC69E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C69E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C69E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C69E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C69E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C69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C69E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C69E9"/>
    <w:pPr>
      <w:jc w:val="left"/>
    </w:pPr>
  </w:style>
  <w:style w:type="paragraph" w:customStyle="1" w:styleId="af6">
    <w:name w:val="ТаблицаЗадачника"/>
    <w:basedOn w:val="a0"/>
    <w:autoRedefine/>
    <w:rsid w:val="00CC69E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C69E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C69E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C69E9"/>
    <w:rPr>
      <w:rFonts w:cs="Times New Roman"/>
      <w:b/>
      <w:bCs/>
      <w:spacing w:val="0"/>
    </w:rPr>
  </w:style>
  <w:style w:type="character" w:styleId="afa">
    <w:name w:val="Emphasis"/>
    <w:qFormat/>
    <w:rsid w:val="00CC69E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C69E9"/>
  </w:style>
  <w:style w:type="character" w:customStyle="1" w:styleId="NoSpacingChar">
    <w:name w:val="No Spacing Char"/>
    <w:link w:val="12"/>
    <w:locked/>
    <w:rsid w:val="00CC69E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C69E9"/>
    <w:pPr>
      <w:ind w:left="720"/>
    </w:pPr>
  </w:style>
  <w:style w:type="paragraph" w:customStyle="1" w:styleId="21">
    <w:name w:val="Цитата 21"/>
    <w:basedOn w:val="a0"/>
    <w:next w:val="a0"/>
    <w:link w:val="QuoteChar"/>
    <w:rsid w:val="00CC69E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C69E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C69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C69E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C69E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C69E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C69E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C69E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C69E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C69E9"/>
    <w:pPr>
      <w:outlineLvl w:val="9"/>
    </w:pPr>
  </w:style>
  <w:style w:type="numbering" w:customStyle="1" w:styleId="38">
    <w:name w:val="Стиль нумерованный полужирный38"/>
    <w:rsid w:val="00CC69E9"/>
    <w:pPr>
      <w:numPr>
        <w:numId w:val="6"/>
      </w:numPr>
    </w:pPr>
  </w:style>
  <w:style w:type="numbering" w:customStyle="1" w:styleId="124">
    <w:name w:val="Стиль нумерованный полужирный124"/>
    <w:rsid w:val="00CC69E9"/>
    <w:pPr>
      <w:numPr>
        <w:numId w:val="9"/>
      </w:numPr>
    </w:pPr>
  </w:style>
  <w:style w:type="numbering" w:customStyle="1" w:styleId="66">
    <w:name w:val="Стиль нумерованный полужирный66"/>
    <w:rsid w:val="00CC69E9"/>
    <w:pPr>
      <w:numPr>
        <w:numId w:val="7"/>
      </w:numPr>
    </w:pPr>
  </w:style>
  <w:style w:type="numbering" w:customStyle="1" w:styleId="54">
    <w:name w:val="Стиль нумерованный полужирный54"/>
    <w:rsid w:val="00CC69E9"/>
    <w:pPr>
      <w:numPr>
        <w:numId w:val="4"/>
      </w:numPr>
    </w:pPr>
  </w:style>
  <w:style w:type="numbering" w:customStyle="1" w:styleId="246">
    <w:name w:val="Стиль нумерованный полужирный246"/>
    <w:rsid w:val="00CC69E9"/>
    <w:pPr>
      <w:numPr>
        <w:numId w:val="2"/>
      </w:numPr>
    </w:pPr>
  </w:style>
  <w:style w:type="numbering" w:customStyle="1" w:styleId="146">
    <w:name w:val="Стиль нумерованный полужирный146"/>
    <w:rsid w:val="00CC69E9"/>
    <w:pPr>
      <w:numPr>
        <w:numId w:val="1"/>
      </w:numPr>
    </w:pPr>
  </w:style>
  <w:style w:type="numbering" w:customStyle="1" w:styleId="44">
    <w:name w:val="Стиль нумерованный полужирный44"/>
    <w:rsid w:val="00CC69E9"/>
    <w:pPr>
      <w:numPr>
        <w:numId w:val="3"/>
      </w:numPr>
    </w:pPr>
  </w:style>
  <w:style w:type="numbering" w:customStyle="1" w:styleId="225">
    <w:name w:val="Стиль нумерованный полужирный225"/>
    <w:rsid w:val="00CC69E9"/>
    <w:pPr>
      <w:numPr>
        <w:numId w:val="10"/>
      </w:numPr>
    </w:pPr>
  </w:style>
  <w:style w:type="numbering" w:customStyle="1" w:styleId="76">
    <w:name w:val="Стиль нумерованный полужирный76"/>
    <w:rsid w:val="00CC69E9"/>
    <w:pPr>
      <w:numPr>
        <w:numId w:val="8"/>
      </w:numPr>
    </w:pPr>
  </w:style>
  <w:style w:type="numbering" w:customStyle="1" w:styleId="74">
    <w:name w:val="Стиль нумерованный полужирный74"/>
    <w:rsid w:val="00CC69E9"/>
    <w:pPr>
      <w:numPr>
        <w:numId w:val="5"/>
      </w:numPr>
    </w:pPr>
  </w:style>
  <w:style w:type="paragraph" w:customStyle="1" w:styleId="1b">
    <w:name w:val="Обычный1"/>
    <w:rsid w:val="00CC69E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C69E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C69E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C69E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C69E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C69E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C69E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C69E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C69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C69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C69E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C69E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C69E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C69E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C69E9"/>
    <w:pPr>
      <w:spacing w:after="100"/>
      <w:ind w:left="440"/>
    </w:pPr>
  </w:style>
  <w:style w:type="paragraph" w:styleId="22">
    <w:name w:val="List 2"/>
    <w:basedOn w:val="a0"/>
    <w:rsid w:val="00CC69E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C69E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C69E9"/>
    <w:pPr>
      <w:numPr>
        <w:numId w:val="13"/>
      </w:numPr>
    </w:pPr>
  </w:style>
  <w:style w:type="paragraph" w:styleId="a">
    <w:name w:val="List Bullet"/>
    <w:basedOn w:val="a0"/>
    <w:semiHidden/>
    <w:unhideWhenUsed/>
    <w:rsid w:val="00CC69E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CC69E9"/>
    <w:rPr>
      <w:color w:val="808080"/>
    </w:rPr>
  </w:style>
  <w:style w:type="paragraph" w:styleId="33">
    <w:name w:val="Body Text Indent 3"/>
    <w:basedOn w:val="a0"/>
    <w:link w:val="34"/>
    <w:rsid w:val="00CC69E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C69E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C69E9"/>
    <w:pPr>
      <w:numPr>
        <w:numId w:val="15"/>
      </w:numPr>
    </w:pPr>
  </w:style>
  <w:style w:type="paragraph" w:customStyle="1" w:styleId="Normal12">
    <w:name w:val="Normal12"/>
    <w:rsid w:val="00CC69E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2021-01-24T13:28:00Z</dcterms:created>
  <dcterms:modified xsi:type="dcterms:W3CDTF">2021-01-24T13:28:00Z</dcterms:modified>
</cp:coreProperties>
</file>